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6F4933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>ai sensi dell’art. 36 co. 2 lett. a)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 xml:space="preserve">D.lgs. 50/2016 per </w:t>
      </w:r>
      <w:r>
        <w:rPr>
          <w:rStyle w:val="BLOCKBOLD"/>
          <w:rFonts w:ascii="Calibri" w:hAnsi="Calibri"/>
        </w:rPr>
        <w:t>ACQUISTO TESTI GIURIDICI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lastRenderedPageBreak/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6F493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D.lgs. 50/2016 per </w:t>
    </w:r>
    <w:r>
      <w:rPr>
        <w:rFonts w:ascii="Calibri" w:hAnsi="Calibri"/>
        <w:sz w:val="18"/>
        <w:szCs w:val="18"/>
      </w:rPr>
      <w:t>acquisto testi giuridici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6F4933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577A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2019-06-19T07:53:00Z</dcterms:modified>
</cp:coreProperties>
</file>